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4172" w:rsidRPr="001051F4" w:rsidRDefault="008E4172" w:rsidP="008E41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1051F4">
        <w:rPr>
          <w:rFonts w:ascii="Times New Roman" w:hAnsi="Times New Roman" w:cs="Times New Roman"/>
          <w:kern w:val="0"/>
          <w:sz w:val="20"/>
          <w:szCs w:val="20"/>
        </w:rPr>
        <w:t xml:space="preserve">         Załącznik Nr 3 do projektu Uchwały Nr </w:t>
      </w:r>
      <w:r w:rsidR="00EA4BC7" w:rsidRPr="001051F4">
        <w:rPr>
          <w:rFonts w:ascii="Times New Roman" w:hAnsi="Times New Roman" w:cs="Times New Roman"/>
          <w:kern w:val="0"/>
          <w:sz w:val="20"/>
          <w:szCs w:val="20"/>
        </w:rPr>
        <w:t>IX</w:t>
      </w:r>
      <w:r w:rsidRPr="001051F4">
        <w:rPr>
          <w:rFonts w:ascii="Times New Roman" w:hAnsi="Times New Roman" w:cs="Times New Roman"/>
          <w:kern w:val="0"/>
          <w:sz w:val="20"/>
          <w:szCs w:val="20"/>
        </w:rPr>
        <w:t>/…2024</w:t>
      </w:r>
    </w:p>
    <w:p w:rsidR="008E4172" w:rsidRPr="001051F4" w:rsidRDefault="008E4172" w:rsidP="008E41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1051F4">
        <w:rPr>
          <w:rFonts w:ascii="Times New Roman" w:hAnsi="Times New Roman" w:cs="Times New Roman"/>
          <w:kern w:val="0"/>
          <w:sz w:val="20"/>
          <w:szCs w:val="20"/>
        </w:rPr>
        <w:tab/>
      </w:r>
      <w:r w:rsidRPr="001051F4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="00EA4BC7" w:rsidRPr="001051F4">
        <w:rPr>
          <w:rFonts w:ascii="Times New Roman" w:hAnsi="Times New Roman" w:cs="Times New Roman"/>
          <w:kern w:val="0"/>
          <w:sz w:val="20"/>
          <w:szCs w:val="20"/>
        </w:rPr>
        <w:t xml:space="preserve">   </w:t>
      </w:r>
      <w:r w:rsidRPr="001051F4">
        <w:rPr>
          <w:rFonts w:ascii="Times New Roman" w:hAnsi="Times New Roman" w:cs="Times New Roman"/>
          <w:kern w:val="0"/>
          <w:sz w:val="20"/>
          <w:szCs w:val="20"/>
        </w:rPr>
        <w:t xml:space="preserve"> Rady Miejskiej w Mroczy</w:t>
      </w:r>
    </w:p>
    <w:p w:rsidR="008E4172" w:rsidRPr="001051F4" w:rsidRDefault="008E4172" w:rsidP="008E41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1051F4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</w:t>
      </w:r>
      <w:r w:rsidR="00EA4BC7" w:rsidRPr="001051F4">
        <w:rPr>
          <w:rFonts w:ascii="Times New Roman" w:hAnsi="Times New Roman" w:cs="Times New Roman"/>
          <w:kern w:val="0"/>
          <w:sz w:val="20"/>
          <w:szCs w:val="20"/>
        </w:rPr>
        <w:t xml:space="preserve">   </w:t>
      </w:r>
      <w:r w:rsidRPr="001051F4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EA4BC7" w:rsidRPr="001051F4">
        <w:rPr>
          <w:rFonts w:ascii="Times New Roman" w:hAnsi="Times New Roman" w:cs="Times New Roman"/>
          <w:kern w:val="0"/>
          <w:sz w:val="20"/>
          <w:szCs w:val="20"/>
        </w:rPr>
        <w:t>20 grudnia</w:t>
      </w:r>
      <w:r w:rsidRPr="001051F4">
        <w:rPr>
          <w:rFonts w:ascii="Times New Roman" w:hAnsi="Times New Roman" w:cs="Times New Roman"/>
          <w:kern w:val="0"/>
          <w:sz w:val="20"/>
          <w:szCs w:val="20"/>
        </w:rPr>
        <w:t xml:space="preserve"> 2024 roku</w:t>
      </w:r>
    </w:p>
    <w:p w:rsidR="00C94D55" w:rsidRPr="001051F4" w:rsidRDefault="00C94D55" w:rsidP="00C94D5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1051F4">
        <w:rPr>
          <w:rFonts w:ascii="Times New Roman" w:hAnsi="Times New Roman" w:cs="Times New Roman"/>
          <w:b/>
          <w:bCs/>
          <w:kern w:val="0"/>
          <w:sz w:val="20"/>
          <w:szCs w:val="20"/>
        </w:rPr>
        <w:t>Objaśnienia przyjętych wartości do Wieloletniej Prognozy Finansowej Gminy Mrocza na lata 2024-2042</w:t>
      </w:r>
    </w:p>
    <w:p w:rsidR="001051F4" w:rsidRDefault="00EA4BC7" w:rsidP="0010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Zgodnie ze zmianami w budżecie na dzień 20 grudnia 2024 r., dokonano następujących zmian </w:t>
      </w:r>
    </w:p>
    <w:p w:rsidR="00EA4BC7" w:rsidRPr="00EA4BC7" w:rsidRDefault="00EA4BC7" w:rsidP="0010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w Wieloletniej Prognozie Finansowej Gminy Mrocza:</w:t>
      </w:r>
    </w:p>
    <w:p w:rsidR="00EA4BC7" w:rsidRPr="00EA4BC7" w:rsidRDefault="00EA4BC7" w:rsidP="001051F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Dochody ogółem zwiększono o 282 120,04 zł, z czego dochody bieżące zwiększono</w:t>
      </w:r>
      <w:r w:rsidR="001051F4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 o 1 368 739,40 zł, a dochody majątkowe zmniejszono o 1 086 619,36 zł.</w:t>
      </w:r>
    </w:p>
    <w:p w:rsidR="00EA4BC7" w:rsidRPr="00EA4BC7" w:rsidRDefault="00EA4BC7" w:rsidP="001051F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Wydatki ogółem zmniejszono o 800 979,96 zł, z czego wydatki bieżące zwiększono </w:t>
      </w:r>
      <w:r w:rsidR="001051F4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>o 169 443,82 zł, a wydatki majątkowe zmniejszono o 970 423,78 zł.</w:t>
      </w:r>
    </w:p>
    <w:p w:rsidR="00EA4BC7" w:rsidRPr="00EA4BC7" w:rsidRDefault="00EA4BC7" w:rsidP="001051F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Wynik budżetu jest deficytowy i po zmianach wynosi -5 119 725,03 zł.</w:t>
      </w:r>
    </w:p>
    <w:p w:rsidR="00EA4BC7" w:rsidRPr="00EA4BC7" w:rsidRDefault="00EA4BC7" w:rsidP="0010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EA4BC7" w:rsidRPr="00EA4BC7" w:rsidRDefault="00EA4BC7" w:rsidP="00EA4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822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985"/>
        <w:gridCol w:w="2126"/>
      </w:tblGrid>
      <w:tr w:rsidR="00EA4BC7" w:rsidRPr="00EA4BC7" w:rsidTr="001051F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78 895 853,09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+282 120,04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79 177 973,13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63 097 605,23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+1 368 739,40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64 466 344,63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Udział we wpływach z PIT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5 625 175,00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+638 479,00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6 263 654,00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Subwencja ogólna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30 438 970,00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+861 521,00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31 300 491,00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14 360 903,79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+36 961,10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14 397 864,89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12 527 815,44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-168 221,70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12 359 593,74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3 903 470,00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-182 961,07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3 720 508,93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15 798 247,86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-1 086 619,36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14 711 628,50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Sprzedaż majątku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1 320 195,52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-930 095,52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390 100,00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85 098 678,12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-800 979,96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84 297 698,16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63 545 274,78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+169 443,82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63 714 718,60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26 176 234,58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+13 300,00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26 189 534,58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35 586 540,20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+156 143,82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35 742 684,02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21 553 403,34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-970 423,78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20 582 979,56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-6 202 825,03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+1 083 100,00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-5 119 725,03</w:t>
            </w:r>
          </w:p>
        </w:tc>
      </w:tr>
    </w:tbl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Od 2025 r. nie dokonywano zmian w zakresie planowanych dochodów i wydatków budżetowych.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W Wieloletniej Prognozie Finansowej Gminy Mrocza:</w:t>
      </w:r>
    </w:p>
    <w:p w:rsidR="00EA4BC7" w:rsidRPr="00EA4BC7" w:rsidRDefault="00EA4BC7" w:rsidP="00EA4BC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Przychody ogółem w roku budżetowym zmniejszono o 1 083 100,00 zł i po zmianach wynoszą 6 219 725,03 zł.</w:t>
      </w:r>
    </w:p>
    <w:p w:rsidR="00EA4BC7" w:rsidRPr="00EA4BC7" w:rsidRDefault="00EA4BC7" w:rsidP="00EA4BC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Rozchody ogółem w roku budżetowym nie uległy zmianie.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:rsidR="00EA4BC7" w:rsidRPr="00EA4BC7" w:rsidRDefault="00EA4BC7" w:rsidP="00EA4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b/>
          <w:bCs/>
          <w:kern w:val="0"/>
          <w:sz w:val="20"/>
          <w:szCs w:val="20"/>
        </w:rPr>
        <w:t>Tabela 2. Zmiany w przychodach i rozchodach na 2024 rok.</w:t>
      </w:r>
    </w:p>
    <w:tbl>
      <w:tblPr>
        <w:tblW w:w="822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985"/>
        <w:gridCol w:w="2126"/>
      </w:tblGrid>
      <w:tr w:rsidR="00EA4BC7" w:rsidRPr="00EA4BC7" w:rsidTr="001051F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7 302 825,03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-1 083 100,00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6 219 725,03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Nadwyżka budżetowa z lat ubiegłych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652 825,03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-556 775,00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96 050,03</w:t>
            </w:r>
          </w:p>
        </w:tc>
      </w:tr>
      <w:tr w:rsidR="00EA4BC7" w:rsidRPr="00EA4BC7" w:rsidTr="001051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Wolne środki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-526 325,00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23 675,00</w:t>
            </w:r>
          </w:p>
        </w:tc>
      </w:tr>
    </w:tbl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Od 2025 nie dokonywano zmian w zakresie planowanych przychodów.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Od 2025 nie dokonywano zmian w zakresie planowanych rozchodów.</w:t>
      </w:r>
    </w:p>
    <w:p w:rsidR="00EA4BC7" w:rsidRPr="00EA4BC7" w:rsidRDefault="00EA4BC7" w:rsidP="0010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Zmiany w Wieloletniej Prognozie Finansowej Gminy Mrocza na lata 2024-2042 spowodowały modyfikacje w kształtowaniu się relacji z art. 243 ustawy o finansach publicznych. Szczegóły zaprezentowano w tabeli poniżej.</w:t>
      </w:r>
    </w:p>
    <w:p w:rsidR="00EA4BC7" w:rsidRPr="00EA4BC7" w:rsidRDefault="00EA4BC7" w:rsidP="00EA4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b/>
          <w:bCs/>
          <w:kern w:val="0"/>
          <w:sz w:val="20"/>
          <w:szCs w:val="20"/>
        </w:rPr>
        <w:t>Tabela 4. Kształtowanie się relacji z art. 243 ust. 1 ustawy o finansach publicznych</w:t>
      </w:r>
    </w:p>
    <w:tbl>
      <w:tblPr>
        <w:tblW w:w="822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443"/>
        <w:gridCol w:w="1560"/>
        <w:gridCol w:w="1559"/>
        <w:gridCol w:w="1559"/>
        <w:gridCol w:w="1276"/>
      </w:tblGrid>
      <w:tr w:rsidR="00EA4BC7" w:rsidRPr="00EA4BC7" w:rsidTr="001051F4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="001051F4"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Zachowanie relacji z art. 243 </w:t>
            </w:r>
            <w:r w:rsidR="001051F4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</w:t>
            </w: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 oparciu o wykonanie)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5,76%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11,46%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12,25%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4,57%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9,73%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10,52%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3,51%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7,69%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3,28%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5,58%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6,71%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4,05%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6,87%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4,25%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5,58%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6,71%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4,23%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6,31%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7,43%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5,18%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8,76%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8,76%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4,87%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9,55%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9,55%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4,74%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5,02%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10,35%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10,35%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4,88%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10,38%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4,91%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10,01%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10,01%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5,63%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9,36%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9,36%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4,36%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8,74%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8,74%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3,40%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8,12%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8,12%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7,53%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7,53%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4,77%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EA4BC7" w:rsidRPr="00EA4BC7" w:rsidTr="001051F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4,96%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6,51%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6,51%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</w:tbl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Dane w tabeli powyżej wskazują, że w całym okresie prognozy Miasto i Gmina Mrocza spełnia relację, o której mowa w art. 243 ust. 1 ustawy o finansach publicznych. Spełnienie dotyczy zarówno relacji obliczonej na podstawie planu na dzień 30.09.2023 r. jak i w oparciu o dane z wykonania budżetu.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Zmiana Wieloletniej Prognozy Finansowej Gminy Mrocza obejmuje również zmiany w załączniku nr 2, które szczegółowo opisano poniżej.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Dokonano zmian w zakresie następujących przedsięwzięć:</w:t>
      </w:r>
    </w:p>
    <w:p w:rsidR="00EA4BC7" w:rsidRPr="00EA4BC7" w:rsidRDefault="00EA4BC7" w:rsidP="00EA4BC7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W zakresie programów, projektów lub zadań związanych z programami realizowanymi z udziałem środków z UE:</w:t>
      </w:r>
    </w:p>
    <w:p w:rsidR="00EA4BC7" w:rsidRPr="00EA4BC7" w:rsidRDefault="00EA4BC7" w:rsidP="001051F4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Podniesienie poziomu </w:t>
      </w:r>
      <w:proofErr w:type="spellStart"/>
      <w:r w:rsidRPr="00EA4BC7">
        <w:rPr>
          <w:rFonts w:ascii="Times New Roman" w:hAnsi="Times New Roman" w:cs="Times New Roman"/>
          <w:kern w:val="0"/>
          <w:sz w:val="20"/>
          <w:szCs w:val="20"/>
        </w:rPr>
        <w:t>cyberbezpieczeństwa</w:t>
      </w:r>
      <w:proofErr w:type="spellEnd"/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 Gminy Mrocza – zmiana </w:t>
      </w:r>
      <w:r w:rsidR="001051F4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>w przedsięwzięciu (część bieżąca) obejmuje m.in.: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zwiększenie łącznych nakładów ogółem oraz limitu zobowiązań na realizację zadania o kwotę 34 741,35 zł;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zwiększenie limitu wydatków na realizację zadania w roku budżetowym </w:t>
      </w:r>
      <w:r w:rsidR="001051F4">
        <w:rPr>
          <w:rFonts w:ascii="Times New Roman" w:hAnsi="Times New Roman" w:cs="Times New Roman"/>
          <w:kern w:val="0"/>
          <w:sz w:val="20"/>
          <w:szCs w:val="20"/>
        </w:rPr>
        <w:t xml:space="preserve">           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>o kwotę 42 259,08 zł;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lastRenderedPageBreak/>
        <w:t>zmniejszenie limitu wydatków na realizację zadania w roku 2025 o kwotę 7 517,73 zł;</w:t>
      </w:r>
    </w:p>
    <w:p w:rsidR="00EA4BC7" w:rsidRPr="00EA4BC7" w:rsidRDefault="00EA4BC7" w:rsidP="001051F4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Budowa kanalizacji sanitarnej w </w:t>
      </w:r>
      <w:r w:rsidR="0019212E" w:rsidRPr="001051F4">
        <w:rPr>
          <w:rFonts w:ascii="Times New Roman" w:hAnsi="Times New Roman" w:cs="Times New Roman"/>
          <w:kern w:val="0"/>
          <w:sz w:val="20"/>
          <w:szCs w:val="20"/>
        </w:rPr>
        <w:t>miejscowościach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 Matyldzin - Wyrza – zmiana </w:t>
      </w:r>
      <w:r w:rsidR="001051F4">
        <w:rPr>
          <w:rFonts w:ascii="Times New Roman" w:hAnsi="Times New Roman" w:cs="Times New Roman"/>
          <w:kern w:val="0"/>
          <w:sz w:val="20"/>
          <w:szCs w:val="20"/>
        </w:rPr>
        <w:t xml:space="preserve">            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>w przedsięwzięciu obejmuje m.in.: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zmniejszenie łącznych nakładów na realizację zadania o kwotę 129 840,35 zł;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zmniejszenie limitu wydatków na realizację zadania w roku budżetowym </w:t>
      </w:r>
      <w:r w:rsidR="001051F4">
        <w:rPr>
          <w:rFonts w:ascii="Times New Roman" w:hAnsi="Times New Roman" w:cs="Times New Roman"/>
          <w:kern w:val="0"/>
          <w:sz w:val="20"/>
          <w:szCs w:val="20"/>
        </w:rPr>
        <w:t xml:space="preserve">         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>o kwotę 136 797,35 zł;</w:t>
      </w:r>
    </w:p>
    <w:p w:rsidR="00EA4BC7" w:rsidRPr="00EA4BC7" w:rsidRDefault="00EA4BC7" w:rsidP="00EA4BC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zwiększenie limitu wydatków na realizację zadania w roku 2025 o kwotę 10 947,00 zł;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zmniejszenie limitu zobowiązań na realizację zadania o kwotę 125 850,35 zł;</w:t>
      </w:r>
    </w:p>
    <w:p w:rsidR="00EA4BC7" w:rsidRPr="00EA4BC7" w:rsidRDefault="00EA4BC7" w:rsidP="001051F4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Podniesienie poziomu </w:t>
      </w:r>
      <w:proofErr w:type="spellStart"/>
      <w:r w:rsidRPr="00EA4BC7">
        <w:rPr>
          <w:rFonts w:ascii="Times New Roman" w:hAnsi="Times New Roman" w:cs="Times New Roman"/>
          <w:kern w:val="0"/>
          <w:sz w:val="20"/>
          <w:szCs w:val="20"/>
        </w:rPr>
        <w:t>cyberbezpieczeństwa</w:t>
      </w:r>
      <w:proofErr w:type="spellEnd"/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 Gminy Mrocza – zmiana </w:t>
      </w:r>
      <w:r w:rsidR="001051F4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>w przedsięwzięciu (część majątkowa) obejmuje m.in.: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zmniejszenie łącznych nakładów ogółem, limitu wydatków na realizację zadania w roku budżetowym oraz limitu zobowiązań o kwotę 34 741,35 zł;</w:t>
      </w:r>
    </w:p>
    <w:p w:rsidR="00EA4BC7" w:rsidRPr="00EA4BC7" w:rsidRDefault="00EA4BC7" w:rsidP="00EA4BC7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W zakresie programów, projektów lub zadań innych (finansowanych ze środków krajowych):</w:t>
      </w:r>
    </w:p>
    <w:p w:rsidR="00EA4BC7" w:rsidRPr="00EA4BC7" w:rsidRDefault="00EA4BC7" w:rsidP="00EA4BC7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Przebudowa drogi gminnej nr 090112C w miejscowości Drzewianowo od km 0+000 do km 0+750 – zmiana w przedsięwzięciu obejmuje m.in.: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 xml:space="preserve">zmniejszenie limitu wydatków na realizację zadania w roku budżetowym </w:t>
      </w:r>
      <w:r w:rsidR="001051F4">
        <w:rPr>
          <w:rFonts w:ascii="Times New Roman" w:hAnsi="Times New Roman" w:cs="Times New Roman"/>
          <w:kern w:val="0"/>
          <w:sz w:val="20"/>
          <w:szCs w:val="20"/>
        </w:rPr>
        <w:t xml:space="preserve">        </w:t>
      </w:r>
      <w:r w:rsidRPr="00EA4BC7">
        <w:rPr>
          <w:rFonts w:ascii="Times New Roman" w:hAnsi="Times New Roman" w:cs="Times New Roman"/>
          <w:kern w:val="0"/>
          <w:sz w:val="20"/>
          <w:szCs w:val="20"/>
        </w:rPr>
        <w:t>o kwotę 794 290,50 zł;</w:t>
      </w:r>
    </w:p>
    <w:p w:rsidR="00EA4BC7" w:rsidRPr="00EA4BC7" w:rsidRDefault="00EA4BC7" w:rsidP="001051F4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zwiększenie limitu wydatków na realizację zadania w roku 2025 o kwotę 794 290,50 zł.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Zmiany wprowadzone w wykazie wieloletnich przedsięwzięć wpłynęły na zmianę pozycji 10.1.1 i 10.1.2 WPF, co przedstawiono w tabelach poniżej.</w:t>
      </w:r>
    </w:p>
    <w:p w:rsidR="00EA4BC7" w:rsidRPr="00EA4BC7" w:rsidRDefault="00EA4BC7" w:rsidP="00EA4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b/>
          <w:bCs/>
          <w:kern w:val="0"/>
          <w:sz w:val="20"/>
          <w:szCs w:val="20"/>
        </w:rPr>
        <w:t>Tabela 5. Zmiany w wydatkach bieżących objętych limitem z art. 226 ust. 3 pkt 4</w:t>
      </w:r>
    </w:p>
    <w:tbl>
      <w:tblPr>
        <w:tblW w:w="8364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126"/>
        <w:gridCol w:w="2552"/>
      </w:tblGrid>
      <w:tr w:rsidR="00EA4BC7" w:rsidRPr="00EA4BC7" w:rsidTr="001051F4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A4BC7" w:rsidRPr="00EA4BC7" w:rsidTr="001051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347 173,79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+42 259,08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389 432,87</w:t>
            </w:r>
          </w:p>
        </w:tc>
      </w:tr>
      <w:tr w:rsidR="00EA4BC7" w:rsidRPr="00EA4BC7" w:rsidTr="001051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2 295 080,98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-7 517,73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2 287 563,25</w:t>
            </w:r>
          </w:p>
        </w:tc>
      </w:tr>
    </w:tbl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:rsidR="00EA4BC7" w:rsidRPr="00EA4BC7" w:rsidRDefault="00EA4BC7" w:rsidP="00EA4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b/>
          <w:bCs/>
          <w:kern w:val="0"/>
          <w:sz w:val="20"/>
          <w:szCs w:val="20"/>
        </w:rPr>
        <w:t>Tabela 6. Zmiany w wydatkach majątkowych objętych limitem z art. 226 ust. 3 pkt 4</w:t>
      </w:r>
    </w:p>
    <w:tbl>
      <w:tblPr>
        <w:tblW w:w="8364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126"/>
        <w:gridCol w:w="2552"/>
      </w:tblGrid>
      <w:tr w:rsidR="00EA4BC7" w:rsidRPr="00EA4BC7" w:rsidTr="001051F4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A4BC7" w:rsidRPr="00EA4BC7" w:rsidTr="001051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16 297 743,59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-965 829,20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15 331 914,39</w:t>
            </w:r>
          </w:p>
        </w:tc>
      </w:tr>
      <w:tr w:rsidR="00EA4BC7" w:rsidRPr="00EA4BC7" w:rsidTr="001051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26 678 566,53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+805 237,50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7" w:rsidRPr="00EA4BC7" w:rsidRDefault="00EA4BC7" w:rsidP="00EA4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A4BC7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27 483 804,03</w:t>
            </w:r>
          </w:p>
        </w:tc>
      </w:tr>
    </w:tbl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EA4BC7" w:rsidRPr="00EA4BC7" w:rsidRDefault="00EA4BC7" w:rsidP="00EA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EA4BC7">
        <w:rPr>
          <w:rFonts w:ascii="Times New Roman" w:hAnsi="Times New Roman" w:cs="Times New Roman"/>
          <w:kern w:val="0"/>
          <w:sz w:val="20"/>
          <w:szCs w:val="20"/>
        </w:rPr>
        <w:t>Pełen zakres zmian obrazują załączniki nr 1 i 2 do niniejszej uchwały.</w:t>
      </w:r>
    </w:p>
    <w:p w:rsidR="00EA4BC7" w:rsidRPr="00EA4BC7" w:rsidRDefault="00EA4BC7" w:rsidP="00EA4B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EA4BC7" w:rsidRPr="001051F4" w:rsidRDefault="00EA4BC7" w:rsidP="00C94D5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EA4BC7" w:rsidRPr="001051F4" w:rsidRDefault="00EA4BC7" w:rsidP="00C94D5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sectPr w:rsidR="00EA4BC7" w:rsidRPr="001051F4" w:rsidSect="00C94D5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79C6" w:rsidRDefault="009F79C6" w:rsidP="009F79C6">
      <w:pPr>
        <w:spacing w:after="0" w:line="240" w:lineRule="auto"/>
      </w:pPr>
      <w:r>
        <w:separator/>
      </w:r>
    </w:p>
  </w:endnote>
  <w:endnote w:type="continuationSeparator" w:id="0">
    <w:p w:rsidR="009F79C6" w:rsidRDefault="009F79C6" w:rsidP="009F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79C6" w:rsidRDefault="009F79C6" w:rsidP="009F79C6">
      <w:pPr>
        <w:spacing w:after="0" w:line="240" w:lineRule="auto"/>
      </w:pPr>
      <w:r>
        <w:separator/>
      </w:r>
    </w:p>
  </w:footnote>
  <w:footnote w:type="continuationSeparator" w:id="0">
    <w:p w:rsidR="009F79C6" w:rsidRDefault="009F79C6" w:rsidP="009F7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2980A336"/>
    <w:multiLevelType w:val="multilevel"/>
    <w:tmpl w:val="89782BB8"/>
    <w:lvl w:ilvl="0">
      <w:start w:val="1"/>
      <w:numFmt w:val="decimal"/>
      <w:lvlText w:val="%1."/>
      <w:lvlJc w:val="left"/>
      <w:pPr>
        <w:keepLines w:val="0"/>
        <w:widowControl w:val="0"/>
        <w:suppressLineNumbers w:val="0"/>
        <w:ind w:left="709" w:hanging="425"/>
      </w:pPr>
    </w:lvl>
    <w:lvl w:ilvl="1">
      <w:start w:val="1"/>
      <w:numFmt w:val="decimal"/>
      <w:lvlText w:val="%1."/>
      <w:lvlJc w:val="left"/>
      <w:pPr>
        <w:keepLines w:val="0"/>
        <w:widowControl w:val="0"/>
        <w:suppressLineNumbers w:val="0"/>
        <w:ind w:left="1417" w:hanging="425"/>
      </w:pPr>
    </w:lvl>
    <w:lvl w:ilvl="2">
      <w:start w:val="1"/>
      <w:numFmt w:val="decimal"/>
      <w:lvlText w:val="%1."/>
      <w:lvlJc w:val="left"/>
      <w:pPr>
        <w:keepLines w:val="0"/>
        <w:widowControl w:val="0"/>
        <w:suppressLineNumbers w:val="0"/>
        <w:ind w:left="2126" w:hanging="425"/>
      </w:pPr>
    </w:lvl>
    <w:lvl w:ilvl="3">
      <w:start w:val="1"/>
      <w:numFmt w:val="decimal"/>
      <w:lvlText w:val="%1."/>
      <w:lvlJc w:val="left"/>
      <w:pPr>
        <w:keepLines w:val="0"/>
        <w:widowControl w:val="0"/>
        <w:suppressLineNumbers w:val="0"/>
        <w:ind w:left="0" w:firstLine="0"/>
      </w:pPr>
    </w:lvl>
    <w:lvl w:ilvl="4">
      <w:start w:val="1"/>
      <w:numFmt w:val="decimal"/>
      <w:lvlText w:val="%1."/>
      <w:lvlJc w:val="left"/>
      <w:pPr>
        <w:keepLines w:val="0"/>
        <w:widowControl w:val="0"/>
        <w:suppressLineNumbers w:val="0"/>
        <w:ind w:left="0" w:firstLine="0"/>
      </w:pPr>
    </w:lvl>
    <w:lvl w:ilvl="5">
      <w:start w:val="1"/>
      <w:numFmt w:val="decimal"/>
      <w:lvlText w:val="%1."/>
      <w:lvlJc w:val="left"/>
      <w:pPr>
        <w:keepLines w:val="0"/>
        <w:widowControl w:val="0"/>
        <w:suppressLineNumbers w:val="0"/>
        <w:ind w:left="0" w:firstLine="0"/>
      </w:pPr>
    </w:lvl>
    <w:lvl w:ilvl="6">
      <w:start w:val="1"/>
      <w:numFmt w:val="decimal"/>
      <w:lvlText w:val="%1."/>
      <w:lvlJc w:val="left"/>
      <w:pPr>
        <w:keepLines w:val="0"/>
        <w:widowControl w:val="0"/>
        <w:suppressLineNumbers w:val="0"/>
        <w:ind w:left="0" w:firstLine="0"/>
      </w:pPr>
    </w:lvl>
    <w:lvl w:ilvl="7">
      <w:start w:val="1"/>
      <w:numFmt w:val="decimal"/>
      <w:lvlText w:val="%1."/>
      <w:lvlJc w:val="left"/>
      <w:pPr>
        <w:keepLines w:val="0"/>
        <w:widowControl w:val="0"/>
        <w:suppressLineNumbers w:val="0"/>
        <w:ind w:left="0" w:firstLine="0"/>
      </w:pPr>
    </w:lvl>
    <w:lvl w:ilvl="8">
      <w:start w:val="1"/>
      <w:numFmt w:val="decimal"/>
      <w:lvlText w:val="%1."/>
      <w:lvlJc w:val="left"/>
      <w:pPr>
        <w:keepLines w:val="0"/>
        <w:widowControl w:val="0"/>
        <w:suppressLineNumbers w:val="0"/>
        <w:ind w:left="0" w:firstLine="0"/>
      </w:pPr>
    </w:lvl>
  </w:abstractNum>
  <w:num w:numId="1" w16cid:durableId="1393039142">
    <w:abstractNumId w:val="0"/>
  </w:num>
  <w:num w:numId="2" w16cid:durableId="1427574194">
    <w:abstractNumId w:val="1"/>
  </w:num>
  <w:num w:numId="3" w16cid:durableId="127404120">
    <w:abstractNumId w:val="2"/>
  </w:num>
  <w:num w:numId="4" w16cid:durableId="1285189618">
    <w:abstractNumId w:val="3"/>
  </w:num>
  <w:num w:numId="5" w16cid:durableId="296647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55"/>
    <w:rsid w:val="001051F4"/>
    <w:rsid w:val="0019212E"/>
    <w:rsid w:val="001F07BA"/>
    <w:rsid w:val="004F6607"/>
    <w:rsid w:val="005C09BE"/>
    <w:rsid w:val="006C4BCE"/>
    <w:rsid w:val="00740444"/>
    <w:rsid w:val="007A3E24"/>
    <w:rsid w:val="00845D44"/>
    <w:rsid w:val="008E4172"/>
    <w:rsid w:val="0099257E"/>
    <w:rsid w:val="009F79C6"/>
    <w:rsid w:val="00BD45A6"/>
    <w:rsid w:val="00C94D55"/>
    <w:rsid w:val="00DC07AE"/>
    <w:rsid w:val="00EA4BC7"/>
    <w:rsid w:val="00E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1F5B"/>
  <w15:chartTrackingRefBased/>
  <w15:docId w15:val="{AAE25D2E-5444-44C1-BC61-CF34BEC6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rsid w:val="004F6607"/>
    <w:pPr>
      <w:widowControl w:val="0"/>
      <w:spacing w:line="240" w:lineRule="auto"/>
      <w:jc w:val="both"/>
    </w:pPr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customStyle="1" w:styleId="PodpistabeliPublink">
    <w:name w:val="Podpis tabeli (Publink)"/>
    <w:basedOn w:val="TekstPublink"/>
    <w:rsid w:val="004F6607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rsid w:val="004F6607"/>
    <w:pPr>
      <w:contextualSpacing/>
      <w:jc w:val="left"/>
    </w:pPr>
  </w:style>
  <w:style w:type="paragraph" w:customStyle="1" w:styleId="NagwektabeliPublink">
    <w:name w:val="Nagłówek tabeli (Publink)"/>
    <w:basedOn w:val="TekstPublink"/>
    <w:rsid w:val="004F6607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rsid w:val="004F6607"/>
    <w:pPr>
      <w:spacing w:after="0"/>
      <w:jc w:val="left"/>
    </w:pPr>
  </w:style>
  <w:style w:type="table" w:styleId="Tabela-Prosty1">
    <w:name w:val="Table Simple 1"/>
    <w:basedOn w:val="Standardowy"/>
    <w:semiHidden/>
    <w:unhideWhenUsed/>
    <w:rsid w:val="004F6607"/>
    <w:pPr>
      <w:widowControl w:val="0"/>
      <w:spacing w:after="0" w:line="240" w:lineRule="auto"/>
    </w:pPr>
    <w:rPr>
      <w:rFonts w:eastAsiaTheme="minorEastAsia"/>
      <w:kern w:val="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Publink">
    <w:name w:val="Lista (Publink)"/>
    <w:basedOn w:val="TekstPublink"/>
    <w:rsid w:val="009F79C6"/>
    <w:pPr>
      <w:contextualSpacing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9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9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Sebastian Kemnitz</cp:lastModifiedBy>
  <cp:revision>10</cp:revision>
  <dcterms:created xsi:type="dcterms:W3CDTF">2024-11-28T09:49:00Z</dcterms:created>
  <dcterms:modified xsi:type="dcterms:W3CDTF">2024-12-12T15:52:00Z</dcterms:modified>
</cp:coreProperties>
</file>