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F16C" w14:textId="77777777" w:rsidR="006559D0" w:rsidRPr="00576E6A" w:rsidRDefault="006559D0" w:rsidP="00304EB7">
      <w:pPr>
        <w:pStyle w:val="Nagwek21"/>
        <w:keepNext/>
        <w:keepLines/>
        <w:spacing w:after="0" w:line="360" w:lineRule="auto"/>
        <w:rPr>
          <w:b w:val="0"/>
          <w:bCs w:val="0"/>
        </w:rPr>
      </w:pPr>
      <w:r w:rsidRPr="00576E6A">
        <w:rPr>
          <w:rStyle w:val="Nagwek20"/>
          <w:rFonts w:eastAsiaTheme="majorEastAsia"/>
          <w:b/>
          <w:bCs/>
        </w:rPr>
        <w:t>UCHWAŁA NR ………………..</w:t>
      </w:r>
    </w:p>
    <w:p w14:paraId="507D9912" w14:textId="77777777" w:rsidR="006559D0" w:rsidRPr="00576E6A" w:rsidRDefault="006559D0" w:rsidP="00304EB7">
      <w:pPr>
        <w:pStyle w:val="Nagwek21"/>
        <w:keepNext/>
        <w:keepLines/>
        <w:spacing w:after="0" w:line="360" w:lineRule="auto"/>
        <w:rPr>
          <w:b w:val="0"/>
          <w:bCs w:val="0"/>
        </w:rPr>
      </w:pPr>
      <w:r w:rsidRPr="00576E6A">
        <w:rPr>
          <w:rStyle w:val="Nagwek20"/>
          <w:rFonts w:eastAsiaTheme="majorEastAsia"/>
          <w:b/>
          <w:bCs/>
        </w:rPr>
        <w:t>RADY MIEJSKIEJ W MROCZY</w:t>
      </w:r>
    </w:p>
    <w:p w14:paraId="7D662366" w14:textId="4FC42E70" w:rsidR="006559D0" w:rsidRDefault="006559D0" w:rsidP="00304EB7">
      <w:pPr>
        <w:pStyle w:val="Teksttreci0"/>
        <w:spacing w:after="0" w:line="360" w:lineRule="auto"/>
        <w:ind w:firstLine="0"/>
        <w:jc w:val="center"/>
        <w:rPr>
          <w:rStyle w:val="Teksttreci"/>
          <w:rFonts w:eastAsiaTheme="majorEastAsia"/>
          <w:b/>
          <w:bCs/>
        </w:rPr>
      </w:pPr>
      <w:r w:rsidRPr="00120DBD">
        <w:rPr>
          <w:rStyle w:val="Teksttreci"/>
          <w:rFonts w:eastAsiaTheme="majorEastAsia"/>
          <w:b/>
          <w:bCs/>
        </w:rPr>
        <w:t xml:space="preserve">z dnia </w:t>
      </w:r>
      <w:r>
        <w:rPr>
          <w:rStyle w:val="Teksttreci"/>
          <w:rFonts w:eastAsiaTheme="majorEastAsia"/>
          <w:b/>
          <w:bCs/>
        </w:rPr>
        <w:t>30 maja</w:t>
      </w:r>
      <w:r w:rsidRPr="00120DBD">
        <w:rPr>
          <w:rStyle w:val="Teksttreci"/>
          <w:rFonts w:eastAsiaTheme="majorEastAsia"/>
          <w:b/>
          <w:bCs/>
        </w:rPr>
        <w:t xml:space="preserve"> 20</w:t>
      </w:r>
      <w:r>
        <w:rPr>
          <w:rStyle w:val="Teksttreci"/>
          <w:rFonts w:eastAsiaTheme="majorEastAsia"/>
          <w:b/>
          <w:bCs/>
        </w:rPr>
        <w:t>25</w:t>
      </w:r>
      <w:r w:rsidRPr="00120DBD">
        <w:rPr>
          <w:rStyle w:val="Teksttreci"/>
          <w:rFonts w:eastAsiaTheme="majorEastAsia"/>
          <w:b/>
          <w:bCs/>
        </w:rPr>
        <w:t xml:space="preserve"> r.</w:t>
      </w:r>
    </w:p>
    <w:p w14:paraId="5268F46B" w14:textId="77777777" w:rsidR="006559D0" w:rsidRPr="00120DBD" w:rsidRDefault="006559D0" w:rsidP="00304EB7">
      <w:pPr>
        <w:pStyle w:val="Teksttreci0"/>
        <w:spacing w:after="0" w:line="360" w:lineRule="auto"/>
        <w:ind w:firstLine="0"/>
        <w:jc w:val="both"/>
        <w:rPr>
          <w:b/>
          <w:bCs/>
        </w:rPr>
      </w:pPr>
    </w:p>
    <w:p w14:paraId="39775C7A" w14:textId="77777777" w:rsidR="00990D1D" w:rsidRDefault="006559D0" w:rsidP="00990D1D">
      <w:pPr>
        <w:jc w:val="center"/>
        <w:rPr>
          <w:rStyle w:val="Nagwek20"/>
          <w:rFonts w:eastAsiaTheme="majorEastAsia"/>
        </w:rPr>
      </w:pPr>
      <w:bookmarkStart w:id="0" w:name="bookmark7"/>
      <w:r w:rsidRPr="00990D1D">
        <w:rPr>
          <w:rStyle w:val="Nagwek20"/>
          <w:rFonts w:eastAsiaTheme="majorEastAsia"/>
        </w:rPr>
        <w:t xml:space="preserve">zmieniająca </w:t>
      </w:r>
      <w:bookmarkEnd w:id="0"/>
      <w:r w:rsidRPr="00990D1D">
        <w:rPr>
          <w:rStyle w:val="Nagwek20"/>
          <w:rFonts w:eastAsiaTheme="majorEastAsia"/>
        </w:rPr>
        <w:t xml:space="preserve">uchwałę w sprawie ustalenia trybu udzielania i rozliczania </w:t>
      </w:r>
    </w:p>
    <w:p w14:paraId="5F0BAA39" w14:textId="77777777" w:rsidR="00990D1D" w:rsidRDefault="006559D0" w:rsidP="00990D1D">
      <w:pPr>
        <w:jc w:val="center"/>
        <w:rPr>
          <w:rStyle w:val="Nagwek20"/>
          <w:rFonts w:eastAsiaTheme="majorEastAsia"/>
        </w:rPr>
      </w:pPr>
      <w:r w:rsidRPr="00990D1D">
        <w:rPr>
          <w:rStyle w:val="Nagwek20"/>
          <w:rFonts w:eastAsiaTheme="majorEastAsia"/>
        </w:rPr>
        <w:t xml:space="preserve">oraz trybu przeprowadzania kontroli prawidłowości pobrania i wykorzystania dotacji udzielanych z budżetu Gminy Mrocza dla niepublicznych szkół, przedszkoli, oddziałów przedszkolnych w szkołach podstawowych </w:t>
      </w:r>
    </w:p>
    <w:p w14:paraId="723A4ADA" w14:textId="771440ED" w:rsidR="006559D0" w:rsidRPr="00990D1D" w:rsidRDefault="006559D0" w:rsidP="00990D1D">
      <w:pPr>
        <w:jc w:val="center"/>
        <w:rPr>
          <w:rStyle w:val="Nagwek20"/>
          <w:rFonts w:eastAsiaTheme="majorEastAsia"/>
        </w:rPr>
      </w:pPr>
      <w:r w:rsidRPr="00990D1D">
        <w:rPr>
          <w:rStyle w:val="Nagwek20"/>
          <w:rFonts w:eastAsiaTheme="majorEastAsia"/>
        </w:rPr>
        <w:t>oraz innych form wychowania przedszkolnego na terenie Gminy Mrocza</w:t>
      </w:r>
    </w:p>
    <w:p w14:paraId="0E8F653F" w14:textId="77777777" w:rsidR="00304EB7" w:rsidRDefault="00304EB7" w:rsidP="00304EB7">
      <w:pPr>
        <w:jc w:val="both"/>
        <w:rPr>
          <w:rStyle w:val="Nagwek20"/>
          <w:rFonts w:eastAsiaTheme="majorEastAsia"/>
          <w:b w:val="0"/>
          <w:bCs w:val="0"/>
        </w:rPr>
      </w:pPr>
    </w:p>
    <w:p w14:paraId="592DF1A6" w14:textId="77777777" w:rsidR="00304EB7" w:rsidRDefault="00304EB7" w:rsidP="00304EB7">
      <w:pPr>
        <w:jc w:val="both"/>
        <w:rPr>
          <w:rStyle w:val="Nagwek20"/>
          <w:rFonts w:eastAsiaTheme="majorEastAsia"/>
          <w:b w:val="0"/>
          <w:bCs w:val="0"/>
        </w:rPr>
      </w:pPr>
    </w:p>
    <w:p w14:paraId="5CC65A0E" w14:textId="1B4E6B54" w:rsidR="00304EB7" w:rsidRDefault="00304EB7" w:rsidP="002003C5">
      <w:pPr>
        <w:ind w:right="-142" w:firstLine="64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04EB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Na podstawie art. 18 ust. 2 pkt 15 ustawy z dnia 8 marca 1990 r. o samorządzie gminnym (Dz. U. z 2024 r. poz. 1465 z </w:t>
      </w:r>
      <w:proofErr w:type="spellStart"/>
      <w:r w:rsidRPr="00304EB7">
        <w:rPr>
          <w:rFonts w:ascii="Times New Roman" w:eastAsia="Times New Roman" w:hAnsi="Times New Roman" w:cs="Times New Roman"/>
          <w:color w:val="auto"/>
          <w:lang w:eastAsia="en-US" w:bidi="ar-SA"/>
        </w:rPr>
        <w:t>późn</w:t>
      </w:r>
      <w:proofErr w:type="spellEnd"/>
      <w:r w:rsidRPr="00304EB7">
        <w:rPr>
          <w:rFonts w:ascii="Times New Roman" w:eastAsia="Times New Roman" w:hAnsi="Times New Roman" w:cs="Times New Roman"/>
          <w:color w:val="auto"/>
          <w:lang w:eastAsia="en-US" w:bidi="ar-SA"/>
        </w:rPr>
        <w:t>. zm.)</w:t>
      </w:r>
      <w:r w:rsidR="002003C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304EB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oraz art. 38 ust. 1 ustawy z dnia 27 października </w:t>
      </w:r>
      <w:r w:rsidR="002003C5">
        <w:rPr>
          <w:rFonts w:ascii="Times New Roman" w:eastAsia="Times New Roman" w:hAnsi="Times New Roman" w:cs="Times New Roman"/>
          <w:color w:val="auto"/>
          <w:lang w:eastAsia="en-US" w:bidi="ar-SA"/>
        </w:rPr>
        <w:br/>
      </w:r>
      <w:r w:rsidRPr="00304EB7">
        <w:rPr>
          <w:rFonts w:ascii="Times New Roman" w:eastAsia="Times New Roman" w:hAnsi="Times New Roman" w:cs="Times New Roman"/>
          <w:color w:val="auto"/>
          <w:lang w:eastAsia="en-US" w:bidi="ar-SA"/>
        </w:rPr>
        <w:t>2017 r. o finansowaniu zadań oświatowych (Dz. U. z 2025 r. poz. 439) Rada Miejska w Mroczy uchwala, co następuje:</w:t>
      </w:r>
    </w:p>
    <w:p w14:paraId="0E36D8E1" w14:textId="77777777" w:rsidR="00304EB7" w:rsidRDefault="00304EB7" w:rsidP="00EB07B9">
      <w:p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2E6C9A5E" w14:textId="77777777" w:rsidR="00304EB7" w:rsidRDefault="00304EB7" w:rsidP="00304EB7">
      <w:p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155A1BE7" w14:textId="40058082" w:rsidR="00304EB7" w:rsidRDefault="00304EB7" w:rsidP="00304EB7">
      <w:pPr>
        <w:spacing w:after="120"/>
        <w:ind w:firstLine="2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04EB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§ 1. </w:t>
      </w:r>
      <w:r w:rsidRPr="00304EB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W Uchwale nr XV/156/2025 Rady Miejskiej w Mroczy z dnia 25 kwietnia 2025 r.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br/>
      </w:r>
      <w:r w:rsidRPr="00304EB7">
        <w:rPr>
          <w:rFonts w:ascii="Times New Roman" w:eastAsia="Times New Roman" w:hAnsi="Times New Roman" w:cs="Times New Roman"/>
          <w:color w:val="auto"/>
          <w:lang w:eastAsia="en-US" w:bidi="ar-SA"/>
        </w:rPr>
        <w:t>w sprawie ustalenia trybu udzielania i rozliczania oraz trybu przeprowadzania kontroli prawidłowości pobrania i wykorzystania dotacji udzielanych z budżetu Gminy Mrocza dla niepublicznych szkół, przedszkoli, oddziałów przedszkolnych w szkołach podstawowych oraz innych form wychowania przedszkolnego na terenie Gminy Mrocza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dodaje się załącznik nr 4 w brzmieniu jak załącznik do niniejszej uchwały.  </w:t>
      </w:r>
    </w:p>
    <w:p w14:paraId="61A2CBBA" w14:textId="77777777" w:rsidR="00C06A4B" w:rsidRDefault="00C06A4B" w:rsidP="00304EB7">
      <w:pPr>
        <w:spacing w:after="120"/>
        <w:ind w:firstLine="2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5FC388D" w14:textId="4CDC7FCE" w:rsidR="00C06A4B" w:rsidRDefault="00C06A4B" w:rsidP="00304EB7">
      <w:pPr>
        <w:spacing w:after="120"/>
        <w:ind w:firstLine="2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6A4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§ 2.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C06A4B">
        <w:rPr>
          <w:rFonts w:ascii="Times New Roman" w:eastAsia="Times New Roman" w:hAnsi="Times New Roman" w:cs="Times New Roman"/>
          <w:color w:val="auto"/>
          <w:lang w:eastAsia="en-US" w:bidi="ar-SA"/>
        </w:rPr>
        <w:t>Wykonanie uchwały powierza się Burmistrzowi Miasta i Gminy Mrocza.</w:t>
      </w:r>
    </w:p>
    <w:p w14:paraId="5D6334B0" w14:textId="77777777" w:rsidR="00C06A4B" w:rsidRDefault="00C06A4B" w:rsidP="00304EB7">
      <w:pPr>
        <w:spacing w:after="120"/>
        <w:ind w:firstLine="2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293ED4E9" w14:textId="04FD1CD7" w:rsidR="00C06A4B" w:rsidRDefault="00C06A4B" w:rsidP="00304EB7">
      <w:pPr>
        <w:spacing w:after="120"/>
        <w:ind w:firstLine="2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6A4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§ 3. </w:t>
      </w:r>
      <w:r w:rsidRPr="00C06A4B">
        <w:rPr>
          <w:rFonts w:ascii="Times New Roman" w:eastAsia="Times New Roman" w:hAnsi="Times New Roman" w:cs="Times New Roman"/>
          <w:color w:val="auto"/>
          <w:lang w:eastAsia="en-US" w:bidi="ar-SA"/>
        </w:rPr>
        <w:t>Uchwała wchodzi w życie po upływie 14 dni od dnia ogłoszenia uchwały w Dzienniku Urzędowym Województwa Kujawsko-Pomorskiego.</w:t>
      </w:r>
    </w:p>
    <w:p w14:paraId="5321F0C3" w14:textId="77777777" w:rsidR="00C06A4B" w:rsidRDefault="00C06A4B" w:rsidP="00304EB7">
      <w:pPr>
        <w:spacing w:after="120"/>
        <w:ind w:firstLine="2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6EB32241" w14:textId="77777777" w:rsidR="00C06A4B" w:rsidRDefault="00C06A4B" w:rsidP="00C06A4B">
      <w:pPr>
        <w:ind w:left="4678"/>
        <w:jc w:val="center"/>
        <w:rPr>
          <w:rFonts w:ascii="Times New Roman" w:cs="Times New Roman"/>
        </w:rPr>
      </w:pPr>
      <w:r w:rsidRPr="00BF29EC">
        <w:rPr>
          <w:rFonts w:ascii="Times New Roman" w:cs="Times New Roman"/>
        </w:rPr>
        <w:t>Przewodnicz</w:t>
      </w:r>
      <w:r w:rsidRPr="00BF29EC">
        <w:rPr>
          <w:rFonts w:ascii="Times New Roman" w:cs="Times New Roman"/>
        </w:rPr>
        <w:t>ą</w:t>
      </w:r>
      <w:r w:rsidRPr="00BF29EC">
        <w:rPr>
          <w:rFonts w:ascii="Times New Roman" w:cs="Times New Roman"/>
        </w:rPr>
        <w:t xml:space="preserve">ca Rady </w:t>
      </w:r>
      <w:r>
        <w:rPr>
          <w:rFonts w:ascii="Times New Roman" w:cs="Times New Roman"/>
        </w:rPr>
        <w:br/>
        <w:t>Miejskiej w Mroczy</w:t>
      </w:r>
    </w:p>
    <w:p w14:paraId="693617F7" w14:textId="77777777" w:rsidR="00C06A4B" w:rsidRDefault="00C06A4B" w:rsidP="00C06A4B">
      <w:pPr>
        <w:spacing w:line="360" w:lineRule="auto"/>
        <w:ind w:left="4678"/>
        <w:jc w:val="center"/>
        <w:rPr>
          <w:rFonts w:ascii="Times New Roman" w:cs="Times New Roman"/>
        </w:rPr>
      </w:pPr>
    </w:p>
    <w:p w14:paraId="5B423E6A" w14:textId="77777777" w:rsidR="00C06A4B" w:rsidRDefault="00C06A4B" w:rsidP="00C06A4B">
      <w:pPr>
        <w:ind w:left="4678"/>
        <w:jc w:val="center"/>
        <w:rPr>
          <w:rFonts w:ascii="Times New Roman" w:cs="Times New Roman"/>
          <w:b/>
          <w:bCs/>
        </w:rPr>
      </w:pPr>
      <w:r w:rsidRPr="0091238D">
        <w:rPr>
          <w:rFonts w:ascii="Times New Roman" w:cs="Times New Roman"/>
          <w:b/>
          <w:bCs/>
        </w:rPr>
        <w:t>Magdalena Musia</w:t>
      </w:r>
      <w:r w:rsidRPr="0091238D">
        <w:rPr>
          <w:rFonts w:ascii="Times New Roman" w:cs="Times New Roman"/>
          <w:b/>
          <w:bCs/>
        </w:rPr>
        <w:t>ł</w:t>
      </w:r>
      <w:r w:rsidRPr="0091238D">
        <w:rPr>
          <w:rFonts w:ascii="Times New Roman" w:cs="Times New Roman"/>
          <w:b/>
          <w:bCs/>
        </w:rPr>
        <w:t>-Resler</w:t>
      </w:r>
    </w:p>
    <w:p w14:paraId="2361C0DE" w14:textId="77777777" w:rsidR="009366EA" w:rsidRDefault="009366EA" w:rsidP="00C06A4B">
      <w:pPr>
        <w:ind w:left="4678"/>
        <w:jc w:val="center"/>
        <w:rPr>
          <w:rFonts w:ascii="Times New Roman" w:cs="Times New Roman"/>
          <w:b/>
          <w:bCs/>
        </w:rPr>
      </w:pPr>
    </w:p>
    <w:p w14:paraId="04A0A0EC" w14:textId="77777777" w:rsidR="009366EA" w:rsidRDefault="009366EA" w:rsidP="00C06A4B">
      <w:pPr>
        <w:ind w:left="4678"/>
        <w:jc w:val="center"/>
        <w:rPr>
          <w:rFonts w:ascii="Times New Roman" w:cs="Times New Roman"/>
          <w:b/>
          <w:bCs/>
        </w:rPr>
      </w:pPr>
    </w:p>
    <w:p w14:paraId="39179638" w14:textId="77777777" w:rsidR="009366EA" w:rsidRDefault="009366EA" w:rsidP="00C06A4B">
      <w:pPr>
        <w:ind w:left="4678"/>
        <w:jc w:val="center"/>
        <w:rPr>
          <w:rFonts w:ascii="Times New Roman" w:cs="Times New Roman"/>
          <w:b/>
          <w:bCs/>
        </w:rPr>
      </w:pPr>
    </w:p>
    <w:p w14:paraId="3C8213F1" w14:textId="77777777" w:rsidR="009366EA" w:rsidRDefault="009366EA" w:rsidP="00C06A4B">
      <w:pPr>
        <w:ind w:left="4678"/>
        <w:jc w:val="center"/>
        <w:rPr>
          <w:rFonts w:ascii="Times New Roman" w:cs="Times New Roman"/>
          <w:b/>
          <w:bCs/>
        </w:rPr>
      </w:pPr>
    </w:p>
    <w:p w14:paraId="47320994" w14:textId="77777777" w:rsidR="009366EA" w:rsidRDefault="009366EA" w:rsidP="00C06A4B">
      <w:pPr>
        <w:ind w:left="4678"/>
        <w:jc w:val="center"/>
        <w:rPr>
          <w:rFonts w:ascii="Times New Roman" w:cs="Times New Roman"/>
          <w:b/>
          <w:bCs/>
        </w:rPr>
      </w:pPr>
    </w:p>
    <w:p w14:paraId="35A24154" w14:textId="77777777" w:rsidR="009366EA" w:rsidRDefault="009366EA" w:rsidP="00C06A4B">
      <w:pPr>
        <w:ind w:left="4678"/>
        <w:jc w:val="center"/>
        <w:rPr>
          <w:rFonts w:ascii="Times New Roman" w:cs="Times New Roman"/>
          <w:b/>
          <w:bCs/>
        </w:rPr>
      </w:pPr>
    </w:p>
    <w:p w14:paraId="1F996AE3" w14:textId="77777777" w:rsidR="009366EA" w:rsidRDefault="009366EA" w:rsidP="00C06A4B">
      <w:pPr>
        <w:ind w:left="4678"/>
        <w:jc w:val="center"/>
        <w:rPr>
          <w:rFonts w:ascii="Times New Roman" w:cs="Times New Roman"/>
          <w:b/>
          <w:bCs/>
        </w:rPr>
      </w:pPr>
    </w:p>
    <w:p w14:paraId="16A17AD7" w14:textId="77777777" w:rsidR="009366EA" w:rsidRDefault="009366EA" w:rsidP="00C06A4B">
      <w:pPr>
        <w:ind w:left="4678"/>
        <w:jc w:val="center"/>
        <w:rPr>
          <w:rFonts w:ascii="Times New Roman" w:cs="Times New Roman"/>
          <w:b/>
          <w:bCs/>
        </w:rPr>
      </w:pPr>
    </w:p>
    <w:p w14:paraId="2AB7E632" w14:textId="77777777" w:rsidR="009366EA" w:rsidRDefault="009366EA" w:rsidP="00C06A4B">
      <w:pPr>
        <w:ind w:left="4678"/>
        <w:jc w:val="center"/>
        <w:rPr>
          <w:rFonts w:ascii="Times New Roman" w:cs="Times New Roman"/>
          <w:b/>
          <w:bCs/>
        </w:rPr>
      </w:pPr>
    </w:p>
    <w:p w14:paraId="5B6E372D" w14:textId="77777777" w:rsidR="009366EA" w:rsidRDefault="009366EA" w:rsidP="00C06A4B">
      <w:pPr>
        <w:ind w:left="4678"/>
        <w:jc w:val="center"/>
        <w:rPr>
          <w:rFonts w:ascii="Times New Roman" w:cs="Times New Roman"/>
          <w:b/>
          <w:bCs/>
        </w:rPr>
      </w:pPr>
    </w:p>
    <w:p w14:paraId="0F923450" w14:textId="77777777" w:rsidR="009366EA" w:rsidRDefault="009366EA" w:rsidP="00C06A4B">
      <w:pPr>
        <w:ind w:left="4678"/>
        <w:jc w:val="center"/>
        <w:rPr>
          <w:rFonts w:ascii="Times New Roman" w:cs="Times New Roman"/>
          <w:b/>
          <w:bCs/>
        </w:rPr>
      </w:pPr>
    </w:p>
    <w:p w14:paraId="1522EFE4" w14:textId="77777777" w:rsidR="009366EA" w:rsidRDefault="009366EA" w:rsidP="00C06A4B">
      <w:pPr>
        <w:ind w:left="4678"/>
        <w:jc w:val="center"/>
        <w:rPr>
          <w:rFonts w:ascii="Times New Roman" w:cs="Times New Roman"/>
          <w:b/>
          <w:bCs/>
        </w:rPr>
      </w:pPr>
    </w:p>
    <w:p w14:paraId="76F3FCCB" w14:textId="77777777" w:rsidR="009366EA" w:rsidRDefault="009366EA" w:rsidP="00C06A4B">
      <w:pPr>
        <w:ind w:left="4678"/>
        <w:jc w:val="center"/>
        <w:rPr>
          <w:rFonts w:ascii="Times New Roman" w:cs="Times New Roman"/>
          <w:b/>
          <w:bCs/>
        </w:rPr>
      </w:pPr>
    </w:p>
    <w:p w14:paraId="3700C51E" w14:textId="77777777" w:rsidR="009366EA" w:rsidRPr="00EA487D" w:rsidRDefault="009366EA" w:rsidP="009366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87D">
        <w:rPr>
          <w:rFonts w:ascii="Times New Roman" w:hAnsi="Times New Roman" w:cs="Times New Roman"/>
          <w:b/>
          <w:bCs/>
          <w:sz w:val="28"/>
          <w:szCs w:val="28"/>
        </w:rPr>
        <w:t>Uzasadnienie</w:t>
      </w:r>
    </w:p>
    <w:p w14:paraId="3396EBD6" w14:textId="77777777" w:rsidR="009366EA" w:rsidRPr="00EA487D" w:rsidRDefault="009366EA" w:rsidP="009366EA">
      <w:pPr>
        <w:rPr>
          <w:rFonts w:ascii="Times New Roman" w:hAnsi="Times New Roman" w:cs="Times New Roman"/>
        </w:rPr>
      </w:pPr>
    </w:p>
    <w:p w14:paraId="3D4EF099" w14:textId="77777777" w:rsidR="001C5365" w:rsidRDefault="009366EA" w:rsidP="001C536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</w:t>
      </w:r>
      <w:r w:rsidRPr="00EA487D">
        <w:rPr>
          <w:rFonts w:ascii="Times New Roman" w:hAnsi="Times New Roman" w:cs="Times New Roman"/>
        </w:rPr>
        <w:t xml:space="preserve"> art. 38 ust.</w:t>
      </w:r>
      <w:r>
        <w:rPr>
          <w:rFonts w:ascii="Times New Roman" w:hAnsi="Times New Roman" w:cs="Times New Roman"/>
        </w:rPr>
        <w:t xml:space="preserve"> </w:t>
      </w:r>
      <w:r w:rsidRPr="00EA487D">
        <w:rPr>
          <w:rFonts w:ascii="Times New Roman" w:hAnsi="Times New Roman" w:cs="Times New Roman"/>
        </w:rPr>
        <w:t xml:space="preserve">1 ustawy z dnia 27 października 2017 r. o finansowaniu zadań oświatowych </w:t>
      </w:r>
      <w:r>
        <w:rPr>
          <w:rFonts w:ascii="Times New Roman" w:hAnsi="Times New Roman" w:cs="Times New Roman"/>
        </w:rPr>
        <w:t xml:space="preserve"> </w:t>
      </w:r>
      <w:r w:rsidRPr="00EA487D">
        <w:rPr>
          <w:rFonts w:ascii="Times New Roman" w:hAnsi="Times New Roman" w:cs="Times New Roman"/>
        </w:rPr>
        <w:t>(</w:t>
      </w:r>
      <w:r w:rsidRPr="00CF6A62">
        <w:rPr>
          <w:rFonts w:ascii="Times New Roman" w:hAnsi="Times New Roman" w:cs="Times New Roman"/>
        </w:rPr>
        <w:t>Dz. U. z 2025 r. poz. 439</w:t>
      </w:r>
      <w:r>
        <w:rPr>
          <w:rFonts w:ascii="Times New Roman" w:hAnsi="Times New Roman" w:cs="Times New Roman"/>
        </w:rPr>
        <w:t xml:space="preserve">) </w:t>
      </w:r>
      <w:r w:rsidRPr="00EA487D">
        <w:rPr>
          <w:rFonts w:ascii="Times New Roman" w:hAnsi="Times New Roman" w:cs="Times New Roman"/>
        </w:rPr>
        <w:t xml:space="preserve">w kompetencji </w:t>
      </w:r>
      <w:r>
        <w:rPr>
          <w:rFonts w:ascii="Times New Roman" w:hAnsi="Times New Roman" w:cs="Times New Roman"/>
        </w:rPr>
        <w:t>o</w:t>
      </w:r>
      <w:r w:rsidRPr="00EA487D">
        <w:rPr>
          <w:rFonts w:ascii="Times New Roman" w:hAnsi="Times New Roman" w:cs="Times New Roman"/>
        </w:rPr>
        <w:t>rgan</w:t>
      </w:r>
      <w:r>
        <w:rPr>
          <w:rFonts w:ascii="Times New Roman" w:hAnsi="Times New Roman" w:cs="Times New Roman"/>
        </w:rPr>
        <w:t>u</w:t>
      </w:r>
      <w:r w:rsidRPr="00EA487D">
        <w:rPr>
          <w:rFonts w:ascii="Times New Roman" w:hAnsi="Times New Roman" w:cs="Times New Roman"/>
        </w:rPr>
        <w:t xml:space="preserve"> stanowiąc</w:t>
      </w:r>
      <w:r>
        <w:rPr>
          <w:rFonts w:ascii="Times New Roman" w:hAnsi="Times New Roman" w:cs="Times New Roman"/>
        </w:rPr>
        <w:t>ego</w:t>
      </w:r>
      <w:r w:rsidRPr="00EA487D">
        <w:rPr>
          <w:rFonts w:ascii="Times New Roman" w:hAnsi="Times New Roman" w:cs="Times New Roman"/>
        </w:rPr>
        <w:t xml:space="preserve"> jednostki samorządu terytorialnego jest ustalenie trybu udzielania i rozliczania dotacji dla publicznych i niepublicznych szkół i placówek wychowania przedszkolnego oraz trybu przeprowadzania kontroli prawidłowości ich pobrania i wykorzystania. </w:t>
      </w:r>
      <w:r>
        <w:rPr>
          <w:rFonts w:ascii="Times New Roman" w:hAnsi="Times New Roman" w:cs="Times New Roman"/>
        </w:rPr>
        <w:t xml:space="preserve">W związku </w:t>
      </w:r>
      <w:r w:rsidRPr="00E06F00">
        <w:rPr>
          <w:rFonts w:ascii="Times New Roman" w:hAnsi="Times New Roman" w:cs="Times New Roman"/>
        </w:rPr>
        <w:t>z wejściem w życie ustawy z dnia 1 października 2024 r. o dochodach jednostek samorządu terytorialnego (Dz. U. z 2024 r. poz. 1572 ze zm.), która wprowadziła zamiast obecnych części subwencji ogólnej, pojęcie potrzeb finansowych jednostek samorządu terytorialnego oraz zastąpiła część oświatową subwencji ogólnej potrzebami oświatowymi</w:t>
      </w:r>
      <w:r>
        <w:rPr>
          <w:rFonts w:ascii="Times New Roman" w:hAnsi="Times New Roman" w:cs="Times New Roman"/>
        </w:rPr>
        <w:t xml:space="preserve"> została podjęta uchwała Nr </w:t>
      </w:r>
      <w:r w:rsidRPr="00E06F00">
        <w:rPr>
          <w:rFonts w:ascii="Times New Roman" w:hAnsi="Times New Roman" w:cs="Times New Roman"/>
        </w:rPr>
        <w:t>XV/1</w:t>
      </w:r>
      <w:r>
        <w:rPr>
          <w:rFonts w:ascii="Times New Roman" w:hAnsi="Times New Roman" w:cs="Times New Roman"/>
        </w:rPr>
        <w:t>56</w:t>
      </w:r>
      <w:r w:rsidRPr="00E06F00">
        <w:rPr>
          <w:rFonts w:ascii="Times New Roman" w:hAnsi="Times New Roman" w:cs="Times New Roman"/>
        </w:rPr>
        <w:t>/2025</w:t>
      </w:r>
      <w:r>
        <w:rPr>
          <w:rFonts w:ascii="Times New Roman" w:hAnsi="Times New Roman" w:cs="Times New Roman"/>
        </w:rPr>
        <w:t xml:space="preserve"> Rady Miejskiej w Mroczy z dnia 25 kwietnia 2025 r. </w:t>
      </w:r>
      <w:r w:rsidRPr="00E06F00">
        <w:rPr>
          <w:rFonts w:ascii="Times New Roman" w:hAnsi="Times New Roman" w:cs="Times New Roman"/>
        </w:rPr>
        <w:t>w sprawie ustalenia trybu udzielania i rozliczania oraz trybu przeprowadzania kontroli prawidłowości pobrania i wykorzystania dotacji udzielanych z budżetu Gminy Mrocza dla niepublicznych szkół, przedszkoli, oddziałów przedszkolnych w szkołach podstawowych oraz innych form wychowania przedszkolnego na terenie Gminy Mrocza</w:t>
      </w:r>
      <w:r>
        <w:rPr>
          <w:rFonts w:ascii="Times New Roman" w:hAnsi="Times New Roman" w:cs="Times New Roman"/>
        </w:rPr>
        <w:t xml:space="preserve">. </w:t>
      </w:r>
    </w:p>
    <w:p w14:paraId="3FE245B6" w14:textId="118F30C7" w:rsidR="009366EA" w:rsidRDefault="009366EA" w:rsidP="001C536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treści ww. uchwały znajduje się informacja o załączniku nr 4, jednakże nie został uwzględniony w podjętej </w:t>
      </w:r>
      <w:r w:rsidRPr="005D6EBD">
        <w:t xml:space="preserve"> </w:t>
      </w:r>
      <w:r w:rsidRPr="005D6EBD">
        <w:rPr>
          <w:rFonts w:ascii="Times New Roman" w:hAnsi="Times New Roman" w:cs="Times New Roman"/>
        </w:rPr>
        <w:t>uchwa</w:t>
      </w:r>
      <w:r>
        <w:rPr>
          <w:rFonts w:ascii="Times New Roman" w:hAnsi="Times New Roman" w:cs="Times New Roman"/>
        </w:rPr>
        <w:t>le</w:t>
      </w:r>
      <w:r w:rsidRPr="005D6EBD">
        <w:rPr>
          <w:rFonts w:ascii="Times New Roman" w:hAnsi="Times New Roman" w:cs="Times New Roman"/>
        </w:rPr>
        <w:t xml:space="preserve"> Nr XV/156/2025</w:t>
      </w:r>
      <w:r>
        <w:rPr>
          <w:rFonts w:ascii="Times New Roman" w:hAnsi="Times New Roman" w:cs="Times New Roman"/>
        </w:rPr>
        <w:t>. W związku  powyższym konieczne jest podjęcie uchwały zmieniającej dodającej załącznik nr 4.</w:t>
      </w:r>
    </w:p>
    <w:p w14:paraId="66993034" w14:textId="77777777" w:rsidR="009366EA" w:rsidRDefault="009366EA" w:rsidP="009366EA">
      <w:pPr>
        <w:spacing w:line="360" w:lineRule="auto"/>
        <w:jc w:val="both"/>
        <w:rPr>
          <w:rFonts w:ascii="Times New Roman" w:hAnsi="Times New Roman" w:cs="Times New Roman"/>
        </w:rPr>
      </w:pPr>
    </w:p>
    <w:p w14:paraId="1DDB39F9" w14:textId="77777777" w:rsidR="009366EA" w:rsidRDefault="009366EA" w:rsidP="009366EA">
      <w:pPr>
        <w:spacing w:line="360" w:lineRule="auto"/>
        <w:jc w:val="both"/>
        <w:rPr>
          <w:rFonts w:ascii="Times New Roman" w:hAnsi="Times New Roman" w:cs="Times New Roman"/>
        </w:rPr>
      </w:pPr>
    </w:p>
    <w:p w14:paraId="7E4BBB54" w14:textId="77777777" w:rsidR="009366EA" w:rsidRPr="002C7A3A" w:rsidRDefault="009366EA" w:rsidP="009366EA">
      <w:pPr>
        <w:spacing w:line="360" w:lineRule="auto"/>
        <w:ind w:left="4395"/>
        <w:jc w:val="center"/>
        <w:rPr>
          <w:rFonts w:ascii="Times New Roman" w:hAnsi="Times New Roman" w:cs="Times New Roman"/>
        </w:rPr>
      </w:pPr>
      <w:r w:rsidRPr="002C7A3A">
        <w:rPr>
          <w:rFonts w:ascii="Times New Roman" w:hAnsi="Times New Roman" w:cs="Times New Roman"/>
        </w:rPr>
        <w:t>Przewodnicząca Rady</w:t>
      </w:r>
    </w:p>
    <w:p w14:paraId="3A5E765C" w14:textId="77777777" w:rsidR="009366EA" w:rsidRPr="002C7A3A" w:rsidRDefault="009366EA" w:rsidP="009366EA">
      <w:pPr>
        <w:spacing w:line="360" w:lineRule="auto"/>
        <w:ind w:left="4395"/>
        <w:jc w:val="center"/>
        <w:rPr>
          <w:rFonts w:ascii="Times New Roman" w:hAnsi="Times New Roman" w:cs="Times New Roman"/>
        </w:rPr>
      </w:pPr>
      <w:r w:rsidRPr="002C7A3A">
        <w:rPr>
          <w:rFonts w:ascii="Times New Roman" w:hAnsi="Times New Roman" w:cs="Times New Roman"/>
        </w:rPr>
        <w:t>Miejskiej w Mroczy</w:t>
      </w:r>
    </w:p>
    <w:p w14:paraId="54EF702D" w14:textId="77777777" w:rsidR="009366EA" w:rsidRPr="002C7A3A" w:rsidRDefault="009366EA" w:rsidP="009366EA">
      <w:pPr>
        <w:spacing w:line="360" w:lineRule="auto"/>
        <w:ind w:left="4395"/>
        <w:jc w:val="center"/>
        <w:rPr>
          <w:rFonts w:ascii="Times New Roman" w:hAnsi="Times New Roman" w:cs="Times New Roman"/>
        </w:rPr>
      </w:pPr>
    </w:p>
    <w:p w14:paraId="00AF5681" w14:textId="77777777" w:rsidR="009366EA" w:rsidRPr="002C7A3A" w:rsidRDefault="009366EA" w:rsidP="009366EA">
      <w:pPr>
        <w:spacing w:line="360" w:lineRule="auto"/>
        <w:ind w:left="4395"/>
        <w:jc w:val="center"/>
        <w:rPr>
          <w:rFonts w:ascii="Times New Roman" w:hAnsi="Times New Roman" w:cs="Times New Roman"/>
          <w:b/>
          <w:bCs/>
        </w:rPr>
      </w:pPr>
      <w:r w:rsidRPr="002C7A3A">
        <w:rPr>
          <w:rFonts w:ascii="Times New Roman" w:hAnsi="Times New Roman" w:cs="Times New Roman"/>
          <w:b/>
          <w:bCs/>
        </w:rPr>
        <w:t>Magdalena Musiał-Resler</w:t>
      </w:r>
    </w:p>
    <w:p w14:paraId="726565D6" w14:textId="77777777" w:rsidR="009366EA" w:rsidRPr="008F0D11" w:rsidRDefault="009366EA" w:rsidP="00C06A4B">
      <w:pPr>
        <w:ind w:left="4678"/>
        <w:jc w:val="center"/>
        <w:rPr>
          <w:rFonts w:ascii="Times New Roman" w:cs="Times New Roman"/>
          <w:b/>
          <w:bCs/>
        </w:rPr>
      </w:pPr>
    </w:p>
    <w:sectPr w:rsidR="009366EA" w:rsidRPr="008F0D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450B6" w14:textId="77777777" w:rsidR="00474EF9" w:rsidRDefault="00474EF9" w:rsidP="00304EB7">
      <w:r>
        <w:separator/>
      </w:r>
    </w:p>
  </w:endnote>
  <w:endnote w:type="continuationSeparator" w:id="0">
    <w:p w14:paraId="0220564E" w14:textId="77777777" w:rsidR="00474EF9" w:rsidRDefault="00474EF9" w:rsidP="0030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885DE" w14:textId="77777777" w:rsidR="00474EF9" w:rsidRDefault="00474EF9" w:rsidP="00304EB7">
      <w:r>
        <w:separator/>
      </w:r>
    </w:p>
  </w:footnote>
  <w:footnote w:type="continuationSeparator" w:id="0">
    <w:p w14:paraId="15923137" w14:textId="77777777" w:rsidR="00474EF9" w:rsidRDefault="00474EF9" w:rsidP="0030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834D" w14:textId="13EBE23F" w:rsidR="00304EB7" w:rsidRPr="00304EB7" w:rsidRDefault="00304EB7" w:rsidP="00304EB7">
    <w:pPr>
      <w:pStyle w:val="Nagwek"/>
      <w:jc w:val="right"/>
      <w:rPr>
        <w:rFonts w:ascii="Times New Roman" w:hAnsi="Times New Roman" w:cs="Times New Roman"/>
      </w:rPr>
    </w:pPr>
    <w:r w:rsidRPr="00304EB7">
      <w:rPr>
        <w:rFonts w:ascii="Times New Roman" w:hAnsi="Times New Roman" w:cs="Times New Roman"/>
      </w:rPr>
      <w:t>PROJEKT</w:t>
    </w:r>
    <w:r w:rsidR="000E451A">
      <w:rPr>
        <w:rFonts w:ascii="Times New Roman" w:hAnsi="Times New Roman" w:cs="Times New Roman"/>
      </w:rPr>
      <w:t xml:space="preserve"> 13.7.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D0"/>
    <w:rsid w:val="000E451A"/>
    <w:rsid w:val="001C5365"/>
    <w:rsid w:val="002003C5"/>
    <w:rsid w:val="00304EB7"/>
    <w:rsid w:val="0043027B"/>
    <w:rsid w:val="004629FC"/>
    <w:rsid w:val="00474EF9"/>
    <w:rsid w:val="00576E6A"/>
    <w:rsid w:val="005C53A9"/>
    <w:rsid w:val="006559D0"/>
    <w:rsid w:val="007F3B11"/>
    <w:rsid w:val="00852EDD"/>
    <w:rsid w:val="008E1E3D"/>
    <w:rsid w:val="009366EA"/>
    <w:rsid w:val="00990D1D"/>
    <w:rsid w:val="00C06A4B"/>
    <w:rsid w:val="00D24B5C"/>
    <w:rsid w:val="00EB07B9"/>
    <w:rsid w:val="00F0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D49E"/>
  <w15:chartTrackingRefBased/>
  <w15:docId w15:val="{C9D39AEF-80F8-4F8D-BCB4-6CA37A95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9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9D0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9D0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9D0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9D0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9D0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9D0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9D0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9D0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9D0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59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9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9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9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9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9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9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59D0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5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9D0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55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59D0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559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59D0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559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9D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9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59D0"/>
    <w:rPr>
      <w:b/>
      <w:bCs/>
      <w:smallCaps/>
      <w:color w:val="2F5496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locked/>
    <w:rsid w:val="006559D0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6559D0"/>
    <w:pPr>
      <w:spacing w:after="120"/>
      <w:ind w:firstLine="240"/>
    </w:pPr>
    <w:rPr>
      <w:rFonts w:ascii="Times New Roman" w:eastAsia="Times New Roman" w:hAnsi="Times New Roman" w:cs="Times New Roman"/>
      <w:color w:val="auto"/>
      <w:kern w:val="2"/>
      <w:lang w:eastAsia="en-US" w:bidi="ar-SA"/>
      <w14:ligatures w14:val="standardContextual"/>
    </w:rPr>
  </w:style>
  <w:style w:type="character" w:customStyle="1" w:styleId="Nagwek20">
    <w:name w:val="Nagłówek #2_"/>
    <w:basedOn w:val="Domylnaczcionkaakapitu"/>
    <w:link w:val="Nagwek21"/>
    <w:locked/>
    <w:rsid w:val="006559D0"/>
    <w:rPr>
      <w:rFonts w:ascii="Times New Roman" w:eastAsia="Times New Roman" w:hAnsi="Times New Roman" w:cs="Times New Roman"/>
      <w:b/>
      <w:bCs/>
    </w:rPr>
  </w:style>
  <w:style w:type="paragraph" w:customStyle="1" w:styleId="Nagwek21">
    <w:name w:val="Nagłówek #2"/>
    <w:basedOn w:val="Normalny"/>
    <w:link w:val="Nagwek20"/>
    <w:rsid w:val="006559D0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kern w:val="2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04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EB7"/>
    <w:rPr>
      <w:rFonts w:ascii="Courier New" w:eastAsia="Courier New" w:hAnsi="Courier New" w:cs="Courier New"/>
      <w:color w:val="000000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4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EB7"/>
    <w:rPr>
      <w:rFonts w:ascii="Courier New" w:eastAsia="Courier New" w:hAnsi="Courier New" w:cs="Courier New"/>
      <w:color w:val="000000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 Mrocza</dc:creator>
  <cp:keywords/>
  <dc:description/>
  <cp:lastModifiedBy>Maria Potka</cp:lastModifiedBy>
  <cp:revision>7</cp:revision>
  <dcterms:created xsi:type="dcterms:W3CDTF">2025-05-16T08:48:00Z</dcterms:created>
  <dcterms:modified xsi:type="dcterms:W3CDTF">2025-05-16T11:50:00Z</dcterms:modified>
</cp:coreProperties>
</file>